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24C" w:rsidRPr="00D7624C" w:rsidRDefault="00D7624C" w:rsidP="00D7624C">
      <w:pPr>
        <w:spacing w:after="0" w:line="240" w:lineRule="auto"/>
        <w:ind w:firstLine="709"/>
        <w:jc w:val="right"/>
        <w:rPr>
          <w:rFonts w:ascii="Times New Roman" w:eastAsia="Calibri" w:hAnsi="Times New Roman"/>
          <w:b/>
          <w:sz w:val="24"/>
          <w:szCs w:val="24"/>
        </w:rPr>
      </w:pPr>
      <w:r w:rsidRPr="00D7624C">
        <w:rPr>
          <w:rFonts w:ascii="Times New Roman" w:eastAsia="Calibri" w:hAnsi="Times New Roman"/>
          <w:b/>
          <w:sz w:val="24"/>
          <w:szCs w:val="24"/>
        </w:rPr>
        <w:t xml:space="preserve">Приложение № </w:t>
      </w:r>
      <w:r w:rsidR="00C53A74">
        <w:rPr>
          <w:rFonts w:ascii="Times New Roman" w:eastAsia="Calibri" w:hAnsi="Times New Roman"/>
          <w:b/>
          <w:sz w:val="24"/>
          <w:szCs w:val="24"/>
        </w:rPr>
        <w:t>4</w:t>
      </w:r>
      <w:r w:rsidRPr="00D7624C">
        <w:rPr>
          <w:rFonts w:ascii="Times New Roman" w:eastAsia="Calibri" w:hAnsi="Times New Roman"/>
          <w:b/>
          <w:sz w:val="24"/>
          <w:szCs w:val="24"/>
        </w:rPr>
        <w:t xml:space="preserve"> </w:t>
      </w:r>
    </w:p>
    <w:p w:rsidR="00D7624C" w:rsidRPr="00D7624C" w:rsidRDefault="00D7624C" w:rsidP="00D7624C">
      <w:pPr>
        <w:spacing w:after="0" w:line="240" w:lineRule="auto"/>
        <w:ind w:firstLine="709"/>
        <w:jc w:val="both"/>
        <w:rPr>
          <w:rFonts w:ascii="Times New Roman" w:eastAsia="Calibri" w:hAnsi="Times New Roman"/>
          <w:b/>
          <w:sz w:val="24"/>
          <w:szCs w:val="24"/>
        </w:rPr>
      </w:pPr>
    </w:p>
    <w:p w:rsidR="00D7624C" w:rsidRPr="00D7624C" w:rsidRDefault="00D7624C" w:rsidP="00D7624C">
      <w:pPr>
        <w:spacing w:after="0" w:line="240" w:lineRule="auto"/>
        <w:ind w:firstLine="709"/>
        <w:jc w:val="center"/>
        <w:rPr>
          <w:rFonts w:ascii="Times New Roman" w:eastAsia="Calibri" w:hAnsi="Times New Roman"/>
          <w:b/>
          <w:sz w:val="24"/>
          <w:szCs w:val="24"/>
        </w:rPr>
      </w:pPr>
      <w:r w:rsidRPr="00D7624C">
        <w:rPr>
          <w:rFonts w:ascii="Times New Roman" w:eastAsia="Calibri" w:hAnsi="Times New Roman"/>
          <w:b/>
          <w:sz w:val="24"/>
          <w:szCs w:val="24"/>
        </w:rPr>
        <w:t>Участие Калужской области в программах Фонда содействия развитию малых форм предприятий в научно-технической сфере</w:t>
      </w:r>
    </w:p>
    <w:p w:rsidR="0069032D" w:rsidRPr="00211E5E" w:rsidRDefault="0069032D" w:rsidP="0069032D">
      <w:pPr>
        <w:spacing w:after="0" w:line="240" w:lineRule="auto"/>
        <w:ind w:firstLine="709"/>
        <w:jc w:val="both"/>
        <w:rPr>
          <w:rFonts w:ascii="Times New Roman" w:eastAsia="Calibri" w:hAnsi="Times New Roman"/>
          <w:sz w:val="24"/>
          <w:szCs w:val="24"/>
        </w:rPr>
      </w:pPr>
      <w:r w:rsidRPr="00211E5E">
        <w:rPr>
          <w:rFonts w:ascii="Times New Roman" w:hAnsi="Times New Roman"/>
          <w:sz w:val="24"/>
          <w:szCs w:val="24"/>
        </w:rPr>
        <w:t xml:space="preserve">На базе </w:t>
      </w:r>
      <w:r>
        <w:rPr>
          <w:rFonts w:ascii="Times New Roman" w:hAnsi="Times New Roman"/>
          <w:sz w:val="24"/>
          <w:szCs w:val="24"/>
        </w:rPr>
        <w:t xml:space="preserve">АО «Агентство инновационного </w:t>
      </w:r>
      <w:proofErr w:type="gramStart"/>
      <w:r>
        <w:rPr>
          <w:rFonts w:ascii="Times New Roman" w:hAnsi="Times New Roman"/>
          <w:sz w:val="24"/>
          <w:szCs w:val="24"/>
        </w:rPr>
        <w:t>развития-центр</w:t>
      </w:r>
      <w:proofErr w:type="gramEnd"/>
      <w:r>
        <w:rPr>
          <w:rFonts w:ascii="Times New Roman" w:hAnsi="Times New Roman"/>
          <w:sz w:val="24"/>
          <w:szCs w:val="24"/>
        </w:rPr>
        <w:t xml:space="preserve"> кластерного развития Калужской области» - специализированной организации кластера</w:t>
      </w:r>
      <w:r w:rsidRPr="00211E5E">
        <w:rPr>
          <w:rFonts w:ascii="Times New Roman" w:hAnsi="Times New Roman"/>
          <w:sz w:val="24"/>
          <w:szCs w:val="24"/>
        </w:rPr>
        <w:t xml:space="preserve"> создано региональное представительство Фонда содействия развитию малых форм предприятий в научно-технической сфере на территории Калужской области.</w:t>
      </w:r>
      <w:r w:rsidRPr="00211E5E">
        <w:rPr>
          <w:rFonts w:ascii="Times New Roman" w:eastAsia="Calibri" w:hAnsi="Times New Roman"/>
          <w:sz w:val="24"/>
          <w:szCs w:val="24"/>
        </w:rPr>
        <w:t xml:space="preserve"> Перспективная деятельность Представительства Фонда направлена на создание в регионе благоприятных условий для появления новых (старт-ап) и успешного развития действующих инновационных предприятий. Свою главную задачу Представительство видит в создании комплексной системы поддержки инноваторов за счет различных программ и источников финансирования, которая позволит носителям идей стать успешными инновационными предпринимателями («инновационный лифт»). </w:t>
      </w:r>
    </w:p>
    <w:p w:rsidR="0069032D" w:rsidRPr="00211E5E" w:rsidRDefault="0069032D" w:rsidP="0069032D">
      <w:pPr>
        <w:spacing w:after="0" w:line="240" w:lineRule="auto"/>
        <w:ind w:firstLine="709"/>
        <w:jc w:val="both"/>
        <w:rPr>
          <w:rFonts w:ascii="Times New Roman" w:eastAsia="Calibri" w:hAnsi="Times New Roman"/>
          <w:sz w:val="24"/>
          <w:szCs w:val="24"/>
        </w:rPr>
      </w:pPr>
      <w:bookmarkStart w:id="0" w:name="_GoBack"/>
      <w:bookmarkEnd w:id="0"/>
      <w:r w:rsidRPr="00211E5E">
        <w:rPr>
          <w:rFonts w:ascii="Times New Roman" w:eastAsia="Calibri" w:hAnsi="Times New Roman"/>
          <w:sz w:val="24"/>
          <w:szCs w:val="24"/>
        </w:rPr>
        <w:t>В своей работе Представительство Фонда содействия в Калужской области ориентируется на достижение следующих целевых показателей:</w:t>
      </w:r>
    </w:p>
    <w:p w:rsidR="0069032D" w:rsidRPr="00211E5E" w:rsidRDefault="0069032D" w:rsidP="0069032D">
      <w:pPr>
        <w:pStyle w:val="a3"/>
        <w:numPr>
          <w:ilvl w:val="0"/>
          <w:numId w:val="2"/>
        </w:numPr>
        <w:spacing w:after="0" w:line="240" w:lineRule="auto"/>
        <w:ind w:left="0" w:hanging="357"/>
        <w:contextualSpacing w:val="0"/>
        <w:jc w:val="both"/>
        <w:rPr>
          <w:rFonts w:ascii="Times New Roman" w:eastAsia="Calibri" w:hAnsi="Times New Roman"/>
          <w:sz w:val="24"/>
          <w:szCs w:val="24"/>
        </w:rPr>
      </w:pPr>
      <w:r w:rsidRPr="00211E5E">
        <w:rPr>
          <w:rFonts w:ascii="Times New Roman" w:eastAsia="Calibri" w:hAnsi="Times New Roman"/>
          <w:sz w:val="24"/>
          <w:szCs w:val="24"/>
        </w:rPr>
        <w:t>Ежегодное участие в программе СТАРТ не менее чем 15 – 20 МИП региона.</w:t>
      </w:r>
    </w:p>
    <w:p w:rsidR="0069032D" w:rsidRPr="00211E5E" w:rsidRDefault="0069032D" w:rsidP="0069032D">
      <w:pPr>
        <w:pStyle w:val="a3"/>
        <w:numPr>
          <w:ilvl w:val="0"/>
          <w:numId w:val="2"/>
        </w:numPr>
        <w:spacing w:after="0" w:line="240" w:lineRule="auto"/>
        <w:ind w:left="0" w:hanging="357"/>
        <w:contextualSpacing w:val="0"/>
        <w:jc w:val="both"/>
        <w:rPr>
          <w:rFonts w:ascii="Times New Roman" w:eastAsia="Calibri" w:hAnsi="Times New Roman"/>
          <w:sz w:val="24"/>
          <w:szCs w:val="24"/>
        </w:rPr>
      </w:pPr>
      <w:r w:rsidRPr="00211E5E">
        <w:rPr>
          <w:rFonts w:ascii="Times New Roman" w:eastAsia="Calibri" w:hAnsi="Times New Roman"/>
          <w:sz w:val="24"/>
          <w:szCs w:val="24"/>
        </w:rPr>
        <w:t>Ежегодное участие в программе УМНИК не менее 120 человек, количество победителей программы – не менее 25 человек.</w:t>
      </w:r>
    </w:p>
    <w:p w:rsidR="0069032D" w:rsidRPr="00211E5E" w:rsidRDefault="0069032D" w:rsidP="0069032D">
      <w:pPr>
        <w:pStyle w:val="a3"/>
        <w:numPr>
          <w:ilvl w:val="0"/>
          <w:numId w:val="2"/>
        </w:numPr>
        <w:spacing w:after="0" w:line="240" w:lineRule="auto"/>
        <w:ind w:left="0" w:hanging="357"/>
        <w:contextualSpacing w:val="0"/>
        <w:jc w:val="both"/>
        <w:rPr>
          <w:rFonts w:ascii="Times New Roman" w:eastAsia="Calibri" w:hAnsi="Times New Roman"/>
          <w:sz w:val="24"/>
          <w:szCs w:val="24"/>
        </w:rPr>
      </w:pPr>
      <w:r w:rsidRPr="00211E5E">
        <w:rPr>
          <w:rFonts w:ascii="Times New Roman" w:eastAsia="Calibri" w:hAnsi="Times New Roman"/>
          <w:sz w:val="24"/>
          <w:szCs w:val="24"/>
        </w:rPr>
        <w:t>Активное содействие победителям программы УМНИК, которые успешно завершили 2 года программы, в дальнейшей коммерциализации полученных научно-технических результатов и создании МИП. Ежегодное участие не менее 3-5 «выпускников программы УМНИК» в программе СТАРТ.</w:t>
      </w:r>
    </w:p>
    <w:p w:rsidR="0069032D" w:rsidRPr="00211E5E" w:rsidRDefault="0069032D" w:rsidP="0069032D">
      <w:pPr>
        <w:pStyle w:val="a3"/>
        <w:numPr>
          <w:ilvl w:val="0"/>
          <w:numId w:val="2"/>
        </w:numPr>
        <w:spacing w:after="0" w:line="240" w:lineRule="auto"/>
        <w:ind w:left="0" w:hanging="357"/>
        <w:contextualSpacing w:val="0"/>
        <w:jc w:val="both"/>
        <w:rPr>
          <w:rFonts w:ascii="Times New Roman" w:eastAsia="Calibri" w:hAnsi="Times New Roman"/>
          <w:sz w:val="24"/>
          <w:szCs w:val="24"/>
        </w:rPr>
      </w:pPr>
      <w:r w:rsidRPr="00211E5E">
        <w:rPr>
          <w:rFonts w:ascii="Times New Roman" w:eastAsia="Calibri" w:hAnsi="Times New Roman"/>
          <w:sz w:val="24"/>
          <w:szCs w:val="24"/>
        </w:rPr>
        <w:t>Ежегодное участие в других программах Фонда содействия (РАЗВИТИЕ, программы поддержки международного сотрудничества) не менее 10 МИП региона</w:t>
      </w:r>
    </w:p>
    <w:p w:rsidR="0069032D" w:rsidRPr="00211E5E" w:rsidRDefault="0069032D" w:rsidP="0069032D">
      <w:pPr>
        <w:pStyle w:val="a3"/>
        <w:numPr>
          <w:ilvl w:val="0"/>
          <w:numId w:val="2"/>
        </w:numPr>
        <w:spacing w:after="0" w:line="240" w:lineRule="auto"/>
        <w:ind w:left="0" w:hanging="357"/>
        <w:contextualSpacing w:val="0"/>
        <w:jc w:val="both"/>
        <w:rPr>
          <w:rFonts w:ascii="Times New Roman" w:eastAsia="Calibri" w:hAnsi="Times New Roman"/>
          <w:sz w:val="24"/>
          <w:szCs w:val="24"/>
        </w:rPr>
      </w:pPr>
      <w:r w:rsidRPr="00211E5E">
        <w:rPr>
          <w:rFonts w:ascii="Times New Roman" w:eastAsia="Calibri" w:hAnsi="Times New Roman"/>
          <w:sz w:val="24"/>
          <w:szCs w:val="24"/>
        </w:rPr>
        <w:t>В связи с появлением в 2014 году новой программы КОММЕРЦИАЛИЗАЦИЯ, направленной на поддержку МИП на стадии подготовки и организации производства инновационной продукции, ежегодно стимулировать участие в этой программе не менее 10 предприятий региона. Поддержка данных проектов Фондом будет иметь ключевое значение для социально-экономического и инновационного развития Калужской области.</w:t>
      </w:r>
    </w:p>
    <w:p w:rsidR="00D7624C" w:rsidRPr="00F6605C" w:rsidRDefault="00D7624C" w:rsidP="00D7624C">
      <w:pPr>
        <w:spacing w:after="0" w:line="240" w:lineRule="auto"/>
        <w:ind w:firstLine="709"/>
        <w:jc w:val="both"/>
        <w:rPr>
          <w:rFonts w:ascii="Times New Roman" w:eastAsia="Calibri" w:hAnsi="Times New Roman"/>
          <w:b/>
          <w:i/>
          <w:sz w:val="24"/>
          <w:szCs w:val="24"/>
        </w:rPr>
      </w:pPr>
    </w:p>
    <w:p w:rsidR="0069032D" w:rsidRDefault="0069032D" w:rsidP="00D7624C">
      <w:pPr>
        <w:spacing w:after="0" w:line="240" w:lineRule="auto"/>
        <w:ind w:firstLine="709"/>
        <w:jc w:val="both"/>
        <w:rPr>
          <w:rFonts w:ascii="Times New Roman" w:eastAsia="Calibri" w:hAnsi="Times New Roman"/>
          <w:sz w:val="24"/>
          <w:szCs w:val="24"/>
        </w:rPr>
      </w:pPr>
    </w:p>
    <w:p w:rsidR="00D7624C" w:rsidRPr="00F6605C" w:rsidRDefault="00D7624C" w:rsidP="00D7624C">
      <w:pPr>
        <w:spacing w:after="0" w:line="240" w:lineRule="auto"/>
        <w:ind w:firstLine="709"/>
        <w:jc w:val="both"/>
        <w:rPr>
          <w:rFonts w:ascii="Times New Roman" w:eastAsia="Calibri" w:hAnsi="Times New Roman"/>
          <w:sz w:val="24"/>
          <w:szCs w:val="24"/>
        </w:rPr>
      </w:pPr>
      <w:r w:rsidRPr="00F6605C">
        <w:rPr>
          <w:rFonts w:ascii="Times New Roman" w:eastAsia="Calibri" w:hAnsi="Times New Roman"/>
          <w:sz w:val="24"/>
          <w:szCs w:val="24"/>
        </w:rPr>
        <w:t>Калужская область принимает участие в программах Фонда содействия с 2005 года. Общее количество предприятий, получавших финансовую поддержку на проведение НИОКР Фонда содействия развитию малых форм предприятий в научно-технической сфере в период с 2010 по 2015 годы  (данные по 31 декабрь 2015г., включительно),  составляет 90 МИП (проектов), общий объем привлеченных средств федерального бюджета за этот период составил 415,9 млн. рублей.</w:t>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 xml:space="preserve">Анализ участия МИП Калужской области в разрезе программ Фонда содействия показал, что более 61% предприятий получали поддержку в рамках программы СТАРТ (и ее аналогов, включая СТАРТ 2-го и 3-го года). При этом в Калужской области достаточно высока доля предприятий, которые после завершения 1-го года программы СТАРТ переходят на 2-й и 3-й годы. Так в 2012 году из 9 победителей программы СТАРТ-2011 7 МИП (или более 77%) успешно перешли на 2-год программы. На данный момент из общего числа получателей грантов по программе СТАРТ 5 МИП завершили полный 3-х летний цикл программы СТАРТ, либо в настоящее время выполняют контракт 3-го года.  Около 15,5% предприятий получали финансирование в рамках программы РАЗВИТИЕ (конкурсы СОФТ, ЭКСПОРТ и др.), 16,6% предприятий получали финансирование в рамках программы Коммерциализация. И менее 7% предприятий получали поддержку в рамках других программ Фонда содействия (в </w:t>
      </w:r>
      <w:proofErr w:type="spellStart"/>
      <w:r w:rsidRPr="00D7624C">
        <w:rPr>
          <w:rFonts w:ascii="Times New Roman" w:eastAsia="Calibri" w:hAnsi="Times New Roman"/>
          <w:sz w:val="24"/>
          <w:szCs w:val="24"/>
        </w:rPr>
        <w:t>т.ч</w:t>
      </w:r>
      <w:proofErr w:type="spellEnd"/>
      <w:r w:rsidRPr="00D7624C">
        <w:rPr>
          <w:rFonts w:ascii="Times New Roman" w:eastAsia="Calibri" w:hAnsi="Times New Roman"/>
          <w:sz w:val="24"/>
          <w:szCs w:val="24"/>
        </w:rPr>
        <w:t>. международные конкурсы и Кооперация).</w:t>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lastRenderedPageBreak/>
        <w:t xml:space="preserve">Положительная динамика наблюдается по участию Калужской области в программе УМНИК. Так за период 2007-2012 гг. в программе УМНИК приняли участие более 200 человек, победителями стали 40 человек. В 2013 году общее количество заявок – 133, количество победителей 22. В 2014 году общее количество заявок – 150, количество победителей 25. В 2015 году общее количество заявок – 118, количество победителей 22. За все время существования программы УМНИК поддержку Фонда содействия (гранты в размере 400 тыс. рублей) получили 119 молодых инноваторов Калужской области. В настоящее время все победители конкурсов 2010 – 2012гг. успешно завершили 2-й год реализации программы. </w:t>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 xml:space="preserve">Всего при участии «умников» в регионе зарегистрировано 5 малых инновационных предприятия. Кроме того победители программы УМНИК выполняют более 30 научно-исследовательских работ по приоритетным направлениям науки и техники, защитили 7 кандидатских диссертаций и зарегистрировали 34 объекта интеллектуальной собственности, в том числе патенты на изобретения, полезные модели, авторские свидетельства на программы и коды для ЭВМ. </w:t>
      </w:r>
    </w:p>
    <w:p w:rsid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Динамика участия МИП Калужской области в программах Фонда содействия за период 2010 – 2015 г. представлена ниже в таблице.</w:t>
      </w:r>
    </w:p>
    <w:p w:rsidR="00D7624C" w:rsidRPr="00D7624C" w:rsidRDefault="00D7624C" w:rsidP="00D7624C">
      <w:pPr>
        <w:spacing w:after="0" w:line="240" w:lineRule="auto"/>
        <w:ind w:firstLine="709"/>
        <w:jc w:val="both"/>
        <w:rPr>
          <w:rFonts w:ascii="Times New Roman" w:eastAsia="Calibri" w:hAnsi="Times New Roman"/>
          <w:sz w:val="24"/>
          <w:szCs w:val="24"/>
        </w:rPr>
      </w:pPr>
    </w:p>
    <w:p w:rsidR="00D7624C" w:rsidRPr="00D7624C" w:rsidRDefault="00D7624C" w:rsidP="00D7624C">
      <w:pPr>
        <w:spacing w:after="0" w:line="240" w:lineRule="auto"/>
        <w:ind w:firstLine="709"/>
        <w:jc w:val="both"/>
        <w:rPr>
          <w:rFonts w:ascii="Times New Roman" w:eastAsia="Calibri" w:hAnsi="Times New Roman"/>
          <w:b/>
          <w:sz w:val="24"/>
          <w:szCs w:val="24"/>
        </w:rPr>
      </w:pPr>
      <w:r w:rsidRPr="00D7624C">
        <w:rPr>
          <w:rFonts w:ascii="Times New Roman" w:eastAsia="Calibri" w:hAnsi="Times New Roman"/>
          <w:b/>
          <w:sz w:val="24"/>
          <w:szCs w:val="24"/>
        </w:rPr>
        <w:t>Участие МИП Калужской области в программах Фонда содействия</w:t>
      </w:r>
    </w:p>
    <w:tbl>
      <w:tblPr>
        <w:tblStyle w:val="a5"/>
        <w:tblW w:w="0" w:type="auto"/>
        <w:tblLook w:val="04A0" w:firstRow="1" w:lastRow="0" w:firstColumn="1" w:lastColumn="0" w:noHBand="0" w:noVBand="1"/>
      </w:tblPr>
      <w:tblGrid>
        <w:gridCol w:w="2913"/>
        <w:gridCol w:w="1565"/>
        <w:gridCol w:w="848"/>
        <w:gridCol w:w="849"/>
        <w:gridCol w:w="849"/>
        <w:gridCol w:w="849"/>
        <w:gridCol w:w="849"/>
        <w:gridCol w:w="849"/>
      </w:tblGrid>
      <w:tr w:rsidR="00D7624C" w:rsidRPr="00D7624C" w:rsidTr="00355141">
        <w:tc>
          <w:tcPr>
            <w:tcW w:w="2645" w:type="dxa"/>
            <w:vMerge w:val="restart"/>
          </w:tcPr>
          <w:p w:rsidR="00D7624C" w:rsidRPr="00D7624C" w:rsidRDefault="00D7624C" w:rsidP="00355141">
            <w:pPr>
              <w:jc w:val="both"/>
              <w:rPr>
                <w:rFonts w:ascii="Times New Roman" w:eastAsia="Calibri" w:hAnsi="Times New Roman"/>
                <w:b/>
                <w:sz w:val="24"/>
                <w:szCs w:val="24"/>
              </w:rPr>
            </w:pPr>
            <w:r w:rsidRPr="00D7624C">
              <w:rPr>
                <w:rFonts w:ascii="Times New Roman" w:eastAsia="Calibri" w:hAnsi="Times New Roman"/>
                <w:b/>
                <w:sz w:val="24"/>
                <w:szCs w:val="24"/>
              </w:rPr>
              <w:t>Программа Фонда</w:t>
            </w:r>
          </w:p>
        </w:tc>
        <w:tc>
          <w:tcPr>
            <w:tcW w:w="1556" w:type="dxa"/>
            <w:vMerge w:val="restart"/>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 xml:space="preserve">Количество заявок </w:t>
            </w:r>
            <w:r w:rsidRPr="00D7624C">
              <w:rPr>
                <w:rFonts w:ascii="Times New Roman" w:eastAsia="Calibri" w:hAnsi="Times New Roman"/>
                <w:b/>
                <w:sz w:val="24"/>
                <w:szCs w:val="24"/>
                <w:lang w:val="en-US"/>
              </w:rPr>
              <w:t xml:space="preserve">/ </w:t>
            </w:r>
            <w:r w:rsidRPr="00D7624C">
              <w:rPr>
                <w:rFonts w:ascii="Times New Roman" w:eastAsia="Calibri" w:hAnsi="Times New Roman"/>
                <w:b/>
                <w:sz w:val="24"/>
                <w:szCs w:val="24"/>
              </w:rPr>
              <w:t>победителей</w:t>
            </w:r>
          </w:p>
        </w:tc>
        <w:tc>
          <w:tcPr>
            <w:tcW w:w="5370" w:type="dxa"/>
            <w:gridSpan w:val="6"/>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Год</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vMerge/>
          </w:tcPr>
          <w:p w:rsidR="00D7624C" w:rsidRPr="00D7624C" w:rsidRDefault="00D7624C" w:rsidP="00355141">
            <w:pPr>
              <w:jc w:val="both"/>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 xml:space="preserve">2010 </w:t>
            </w: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 xml:space="preserve">2011 </w:t>
            </w: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 xml:space="preserve">2012 </w:t>
            </w: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2013</w:t>
            </w: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2014</w:t>
            </w:r>
          </w:p>
        </w:tc>
        <w:tc>
          <w:tcPr>
            <w:tcW w:w="895" w:type="dxa"/>
          </w:tcPr>
          <w:p w:rsidR="00D7624C" w:rsidRPr="00D7624C" w:rsidRDefault="00D7624C" w:rsidP="00355141">
            <w:pPr>
              <w:jc w:val="center"/>
              <w:rPr>
                <w:rFonts w:ascii="Times New Roman" w:eastAsia="Calibri" w:hAnsi="Times New Roman"/>
                <w:b/>
                <w:sz w:val="24"/>
                <w:szCs w:val="24"/>
              </w:rPr>
            </w:pPr>
            <w:r w:rsidRPr="00D7624C">
              <w:rPr>
                <w:rFonts w:ascii="Times New Roman" w:eastAsia="Calibri" w:hAnsi="Times New Roman"/>
                <w:b/>
                <w:sz w:val="24"/>
                <w:szCs w:val="24"/>
              </w:rPr>
              <w:t>2015</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СТАРТ</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19</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20</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30</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20</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4</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9</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5</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4</w:t>
            </w:r>
          </w:p>
        </w:tc>
      </w:tr>
      <w:tr w:rsidR="00D7624C" w:rsidRPr="00D7624C" w:rsidTr="00355141">
        <w:trPr>
          <w:trHeight w:val="787"/>
        </w:trPr>
        <w:tc>
          <w:tcPr>
            <w:tcW w:w="2645"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СТАРТ – переход на 2-й и 3-й год финансирования</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7</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4</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УМНИК</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59</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113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133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150</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118</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9</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15</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25</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22</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УМНИК на СТАРТ</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 xml:space="preserve">Программа РАЗВИТИЕ, в </w:t>
            </w:r>
            <w:proofErr w:type="spellStart"/>
            <w:r w:rsidRPr="00D7624C">
              <w:rPr>
                <w:rFonts w:ascii="Times New Roman" w:eastAsia="Calibri" w:hAnsi="Times New Roman"/>
                <w:sz w:val="24"/>
                <w:szCs w:val="24"/>
              </w:rPr>
              <w:t>т.ч</w:t>
            </w:r>
            <w:proofErr w:type="spellEnd"/>
            <w:r w:rsidRPr="00D7624C">
              <w:rPr>
                <w:rFonts w:ascii="Times New Roman" w:eastAsia="Calibri" w:hAnsi="Times New Roman"/>
                <w:sz w:val="24"/>
                <w:szCs w:val="24"/>
              </w:rPr>
              <w:t>. конкурс ЭКСПОРТ</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5</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7</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10</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5</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Международные конкурсы</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КОММЕРЦИАЛИЗАЦИЯ</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27</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6</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9</w:t>
            </w:r>
          </w:p>
        </w:tc>
      </w:tr>
      <w:tr w:rsidR="00D7624C" w:rsidRPr="00D7624C" w:rsidTr="00355141">
        <w:tc>
          <w:tcPr>
            <w:tcW w:w="2645" w:type="dxa"/>
            <w:vMerge w:val="restart"/>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Программа КООПЕРАЦИЯ</w:t>
            </w: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Участники</w:t>
            </w: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w:t>
            </w:r>
          </w:p>
        </w:tc>
      </w:tr>
      <w:tr w:rsidR="00D7624C" w:rsidRPr="00D7624C" w:rsidTr="00355141">
        <w:tc>
          <w:tcPr>
            <w:tcW w:w="2645" w:type="dxa"/>
            <w:vMerge/>
          </w:tcPr>
          <w:p w:rsidR="00D7624C" w:rsidRPr="00D7624C" w:rsidRDefault="00D7624C" w:rsidP="00355141">
            <w:pPr>
              <w:jc w:val="both"/>
              <w:rPr>
                <w:rFonts w:ascii="Times New Roman" w:eastAsia="Calibri" w:hAnsi="Times New Roman"/>
                <w:sz w:val="24"/>
                <w:szCs w:val="24"/>
              </w:rPr>
            </w:pPr>
          </w:p>
        </w:tc>
        <w:tc>
          <w:tcPr>
            <w:tcW w:w="1556" w:type="dxa"/>
          </w:tcPr>
          <w:p w:rsidR="00D7624C" w:rsidRPr="00D7624C" w:rsidRDefault="00D7624C" w:rsidP="00355141">
            <w:pPr>
              <w:jc w:val="both"/>
              <w:rPr>
                <w:rFonts w:ascii="Times New Roman" w:eastAsia="Calibri" w:hAnsi="Times New Roman"/>
                <w:sz w:val="24"/>
                <w:szCs w:val="24"/>
              </w:rPr>
            </w:pPr>
            <w:r w:rsidRPr="00D7624C">
              <w:rPr>
                <w:rFonts w:ascii="Times New Roman" w:eastAsia="Calibri" w:hAnsi="Times New Roman"/>
                <w:sz w:val="24"/>
                <w:szCs w:val="24"/>
              </w:rPr>
              <w:t>Победители</w:t>
            </w: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w:t>
            </w:r>
          </w:p>
        </w:tc>
      </w:tr>
      <w:tr w:rsidR="00D7624C" w:rsidRPr="00D7624C" w:rsidTr="00355141">
        <w:tc>
          <w:tcPr>
            <w:tcW w:w="4201" w:type="dxa"/>
            <w:gridSpan w:val="2"/>
          </w:tcPr>
          <w:p w:rsidR="00D7624C" w:rsidRPr="00D7624C" w:rsidRDefault="00D7624C" w:rsidP="00355141">
            <w:pPr>
              <w:jc w:val="right"/>
              <w:rPr>
                <w:rFonts w:ascii="Times New Roman" w:eastAsia="Calibri" w:hAnsi="Times New Roman"/>
                <w:sz w:val="24"/>
                <w:szCs w:val="24"/>
              </w:rPr>
            </w:pPr>
            <w:r w:rsidRPr="00D7624C">
              <w:rPr>
                <w:rFonts w:ascii="Times New Roman" w:eastAsia="Calibri" w:hAnsi="Times New Roman"/>
                <w:sz w:val="24"/>
                <w:szCs w:val="24"/>
              </w:rPr>
              <w:t>ИТОГО поддержано МИП</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13</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16</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12</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23</w:t>
            </w:r>
          </w:p>
        </w:tc>
      </w:tr>
      <w:tr w:rsidR="00D7624C" w:rsidRPr="00D7624C" w:rsidTr="00355141">
        <w:tc>
          <w:tcPr>
            <w:tcW w:w="4201" w:type="dxa"/>
            <w:gridSpan w:val="2"/>
          </w:tcPr>
          <w:p w:rsidR="00D7624C" w:rsidRPr="00D7624C" w:rsidRDefault="00D7624C" w:rsidP="00355141">
            <w:pPr>
              <w:jc w:val="right"/>
              <w:rPr>
                <w:rFonts w:ascii="Times New Roman" w:eastAsia="Calibri" w:hAnsi="Times New Roman"/>
                <w:sz w:val="24"/>
                <w:szCs w:val="24"/>
              </w:rPr>
            </w:pPr>
            <w:r w:rsidRPr="00D7624C">
              <w:rPr>
                <w:rFonts w:ascii="Times New Roman" w:eastAsia="Calibri" w:hAnsi="Times New Roman"/>
                <w:sz w:val="24"/>
                <w:szCs w:val="24"/>
              </w:rPr>
              <w:t>Объемы финансирования, млн. рублей</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19,8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30,8</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35,6</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71,1</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55,6</w:t>
            </w:r>
          </w:p>
        </w:tc>
        <w:tc>
          <w:tcPr>
            <w:tcW w:w="895" w:type="dxa"/>
          </w:tcPr>
          <w:p w:rsidR="00D7624C" w:rsidRPr="00D7624C" w:rsidRDefault="00D7624C" w:rsidP="00355141">
            <w:pPr>
              <w:jc w:val="center"/>
              <w:rPr>
                <w:rFonts w:ascii="Times New Roman" w:eastAsia="Calibri" w:hAnsi="Times New Roman"/>
                <w:sz w:val="24"/>
                <w:szCs w:val="24"/>
              </w:rPr>
            </w:pPr>
            <w:r w:rsidRPr="00D7624C">
              <w:rPr>
                <w:rFonts w:ascii="Times New Roman" w:eastAsia="Calibri" w:hAnsi="Times New Roman"/>
                <w:sz w:val="24"/>
                <w:szCs w:val="24"/>
              </w:rPr>
              <w:t>203</w:t>
            </w:r>
          </w:p>
        </w:tc>
      </w:tr>
    </w:tbl>
    <w:p w:rsidR="00D7624C" w:rsidRPr="00D7624C" w:rsidRDefault="00D7624C" w:rsidP="00D7624C">
      <w:pPr>
        <w:spacing w:after="0" w:line="240" w:lineRule="auto"/>
        <w:ind w:firstLine="709"/>
        <w:jc w:val="both"/>
        <w:rPr>
          <w:rFonts w:ascii="Times New Roman" w:eastAsia="Calibri" w:hAnsi="Times New Roman"/>
          <w:sz w:val="24"/>
          <w:szCs w:val="24"/>
        </w:rPr>
      </w:pPr>
    </w:p>
    <w:p w:rsidR="00D7624C" w:rsidRPr="00D7624C" w:rsidRDefault="00D7624C" w:rsidP="00D7624C">
      <w:pPr>
        <w:spacing w:after="0" w:line="240" w:lineRule="auto"/>
        <w:ind w:firstLine="709"/>
        <w:jc w:val="both"/>
        <w:rPr>
          <w:rFonts w:ascii="Times New Roman" w:eastAsia="Calibri" w:hAnsi="Times New Roman"/>
          <w:b/>
          <w:sz w:val="24"/>
          <w:szCs w:val="24"/>
        </w:rPr>
      </w:pPr>
      <w:r w:rsidRPr="00D7624C">
        <w:rPr>
          <w:rFonts w:ascii="Times New Roman" w:eastAsia="Calibri" w:hAnsi="Times New Roman"/>
          <w:sz w:val="24"/>
          <w:szCs w:val="24"/>
        </w:rPr>
        <w:t>В 2015 году общее количество заключенных (действующих) контрактов МИП Калужской области (включая контракты на выполнение НИОКР и контракты по программе Коммерциализация) составило 23, общий объем финансирования по заключенным контрактам – 203 млн. рублей. По сравнению с 2010 годом объемы привлеченного финансирования выросли более чем в 10 раз.</w:t>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 xml:space="preserve">Объем средств федерального бюджета привлеченных на предприятия Калужской области в рамках программ Фонда содействия за период 2005 – 2012 гг. составил более 115,3 млн. рублей, за период 2013 - 2015 гг. заключено контрактов еще на 329,7 млн. рублей. Таким образом, общий объем средств Фонда, привлеченных в экономику Калужской области за </w:t>
      </w:r>
      <w:proofErr w:type="gramStart"/>
      <w:r w:rsidRPr="00D7624C">
        <w:rPr>
          <w:rFonts w:ascii="Times New Roman" w:eastAsia="Calibri" w:hAnsi="Times New Roman"/>
          <w:sz w:val="24"/>
          <w:szCs w:val="24"/>
        </w:rPr>
        <w:t>последние</w:t>
      </w:r>
      <w:proofErr w:type="gramEnd"/>
      <w:r w:rsidRPr="00D7624C">
        <w:rPr>
          <w:rFonts w:ascii="Times New Roman" w:eastAsia="Calibri" w:hAnsi="Times New Roman"/>
          <w:sz w:val="24"/>
          <w:szCs w:val="24"/>
        </w:rPr>
        <w:t xml:space="preserve"> 10 лет, составляет более 445 млн. рублей.</w:t>
      </w:r>
    </w:p>
    <w:p w:rsidR="00D7624C" w:rsidRPr="00D7624C" w:rsidRDefault="00D7624C" w:rsidP="00D7624C">
      <w:pPr>
        <w:spacing w:after="0" w:line="240" w:lineRule="auto"/>
        <w:jc w:val="center"/>
        <w:rPr>
          <w:rFonts w:ascii="Times New Roman" w:eastAsia="Calibri" w:hAnsi="Times New Roman"/>
          <w:b/>
          <w:sz w:val="24"/>
          <w:szCs w:val="24"/>
        </w:rPr>
      </w:pPr>
    </w:p>
    <w:p w:rsidR="00D7624C" w:rsidRPr="00D7624C" w:rsidRDefault="00D7624C" w:rsidP="00D7624C">
      <w:pPr>
        <w:spacing w:after="0" w:line="240" w:lineRule="auto"/>
        <w:jc w:val="center"/>
        <w:rPr>
          <w:rFonts w:ascii="Times New Roman" w:eastAsia="Calibri" w:hAnsi="Times New Roman"/>
          <w:b/>
          <w:sz w:val="24"/>
          <w:szCs w:val="24"/>
        </w:rPr>
      </w:pPr>
      <w:r w:rsidRPr="00D7624C">
        <w:rPr>
          <w:rFonts w:ascii="Times New Roman" w:eastAsia="Calibri" w:hAnsi="Times New Roman"/>
          <w:b/>
          <w:sz w:val="24"/>
          <w:szCs w:val="24"/>
        </w:rPr>
        <w:t>Количество заключенных контрактов с Фондом содействия и объемы финансирования по заключенным контрактам за период 2010 – 2015 гг.</w:t>
      </w:r>
    </w:p>
    <w:p w:rsidR="00D7624C" w:rsidRPr="00D7624C" w:rsidRDefault="00D7624C" w:rsidP="00D7624C">
      <w:pPr>
        <w:spacing w:after="0" w:line="240" w:lineRule="auto"/>
        <w:jc w:val="both"/>
        <w:rPr>
          <w:rFonts w:ascii="Times New Roman" w:eastAsia="Calibri" w:hAnsi="Times New Roman"/>
          <w:b/>
          <w:sz w:val="24"/>
          <w:szCs w:val="24"/>
        </w:rPr>
      </w:pPr>
    </w:p>
    <w:p w:rsidR="00D7624C" w:rsidRPr="00D7624C" w:rsidRDefault="00D7624C" w:rsidP="00D7624C">
      <w:pPr>
        <w:spacing w:after="0" w:line="240" w:lineRule="auto"/>
        <w:jc w:val="center"/>
        <w:rPr>
          <w:rFonts w:ascii="Times New Roman" w:eastAsia="Calibri" w:hAnsi="Times New Roman"/>
          <w:b/>
          <w:sz w:val="24"/>
          <w:szCs w:val="24"/>
        </w:rPr>
      </w:pPr>
      <w:r w:rsidRPr="00D7624C">
        <w:rPr>
          <w:rFonts w:ascii="Times New Roman" w:eastAsia="Calibri" w:hAnsi="Times New Roman"/>
          <w:b/>
          <w:noProof/>
          <w:sz w:val="24"/>
          <w:szCs w:val="24"/>
        </w:rPr>
        <w:drawing>
          <wp:inline distT="0" distB="0" distL="0" distR="0" wp14:anchorId="7A18B694" wp14:editId="21213CAF">
            <wp:extent cx="5433060" cy="3710940"/>
            <wp:effectExtent l="0" t="0" r="15240" b="2286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Программа КОММЕРЦИАЛИЗАЦИЯ оказалась очень востребованной у предприятий Калужской области. В 2014г. поддержано 6 МИП на общую сумму 30,6 млн. рублей, в 2015г. поддержано 9 МИП на общую сумму 104,7 млн. рублей. Согласно статистике Фонда, по объемам финансирования, привлеченным по программе Коммерциализация, Калужская область входит в ТОП-10 регионов Российской Федерации.  В 2016 году для участия в 4-й очереди конкурса Коммерциализация было подано 4 заявки, итоги конкурса пока не подведены.</w:t>
      </w:r>
    </w:p>
    <w:p w:rsidR="00D7624C" w:rsidRPr="00D7624C"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 xml:space="preserve">Анализ показателей развития по кругу предприятий (17 МИП), которые в 2014 – 2015гг получили </w:t>
      </w:r>
      <w:proofErr w:type="spellStart"/>
      <w:r w:rsidRPr="00D7624C">
        <w:rPr>
          <w:rFonts w:ascii="Times New Roman" w:eastAsia="Calibri" w:hAnsi="Times New Roman"/>
          <w:sz w:val="24"/>
          <w:szCs w:val="24"/>
        </w:rPr>
        <w:t>грантовое</w:t>
      </w:r>
      <w:proofErr w:type="spellEnd"/>
      <w:r w:rsidRPr="00D7624C">
        <w:rPr>
          <w:rFonts w:ascii="Times New Roman" w:eastAsia="Calibri" w:hAnsi="Times New Roman"/>
          <w:sz w:val="24"/>
          <w:szCs w:val="24"/>
        </w:rPr>
        <w:t xml:space="preserve"> финансирование по программе Коммерциализация и в рамках Антикризисного фонда, показал, что участие в программе позволило получить следующие основные социально-экономические результаты  для Калужской области:</w:t>
      </w:r>
    </w:p>
    <w:p w:rsidR="00D7624C" w:rsidRPr="00D7624C" w:rsidRDefault="00D7624C" w:rsidP="00D7624C">
      <w:pPr>
        <w:pStyle w:val="a3"/>
        <w:numPr>
          <w:ilvl w:val="0"/>
          <w:numId w:val="1"/>
        </w:numPr>
        <w:spacing w:after="0" w:line="240" w:lineRule="auto"/>
        <w:ind w:left="0"/>
        <w:contextualSpacing w:val="0"/>
        <w:jc w:val="both"/>
        <w:rPr>
          <w:rFonts w:ascii="Times New Roman" w:eastAsia="Calibri" w:hAnsi="Times New Roman"/>
          <w:sz w:val="24"/>
          <w:szCs w:val="24"/>
        </w:rPr>
      </w:pPr>
      <w:r w:rsidRPr="00D7624C">
        <w:rPr>
          <w:rFonts w:ascii="Times New Roman" w:eastAsia="Calibri" w:hAnsi="Times New Roman"/>
          <w:sz w:val="24"/>
          <w:szCs w:val="24"/>
        </w:rPr>
        <w:t>Общий прирост выручки на предприятиях – получателях поддержки составил 12,6% (с 1 550 862  тыс. рублей в 2014 году до 1 746 677 тыс. рублей в 2015 году)</w:t>
      </w:r>
    </w:p>
    <w:p w:rsidR="00D7624C" w:rsidRPr="00D7624C" w:rsidRDefault="00D7624C" w:rsidP="00D7624C">
      <w:pPr>
        <w:pStyle w:val="a3"/>
        <w:numPr>
          <w:ilvl w:val="0"/>
          <w:numId w:val="1"/>
        </w:numPr>
        <w:spacing w:after="0" w:line="240" w:lineRule="auto"/>
        <w:ind w:left="0" w:hanging="357"/>
        <w:contextualSpacing w:val="0"/>
        <w:jc w:val="both"/>
        <w:rPr>
          <w:rFonts w:ascii="Times New Roman" w:eastAsia="Calibri" w:hAnsi="Times New Roman"/>
          <w:sz w:val="24"/>
          <w:szCs w:val="24"/>
        </w:rPr>
      </w:pPr>
      <w:r w:rsidRPr="00D7624C">
        <w:rPr>
          <w:rFonts w:ascii="Times New Roman" w:eastAsia="Calibri" w:hAnsi="Times New Roman"/>
          <w:sz w:val="24"/>
          <w:szCs w:val="24"/>
        </w:rPr>
        <w:t xml:space="preserve">На данных предприятиях было создано (либо модернизировано) более 100 высокопроизводительных рабочих мест  </w:t>
      </w:r>
    </w:p>
    <w:p w:rsidR="00D7624C" w:rsidRPr="00D7624C" w:rsidRDefault="00D7624C" w:rsidP="00D7624C">
      <w:pPr>
        <w:pStyle w:val="a3"/>
        <w:numPr>
          <w:ilvl w:val="0"/>
          <w:numId w:val="1"/>
        </w:numPr>
        <w:spacing w:after="0" w:line="240" w:lineRule="auto"/>
        <w:ind w:left="0" w:hanging="357"/>
        <w:contextualSpacing w:val="0"/>
        <w:jc w:val="both"/>
        <w:rPr>
          <w:rFonts w:ascii="Times New Roman" w:eastAsia="Calibri" w:hAnsi="Times New Roman"/>
          <w:sz w:val="24"/>
          <w:szCs w:val="24"/>
        </w:rPr>
      </w:pPr>
      <w:r w:rsidRPr="00D7624C">
        <w:rPr>
          <w:rFonts w:ascii="Times New Roman" w:eastAsia="Calibri" w:hAnsi="Times New Roman"/>
          <w:sz w:val="24"/>
          <w:szCs w:val="24"/>
        </w:rPr>
        <w:t>Общий прирост вновь созданных рабочих мест составил 3,8%</w:t>
      </w:r>
    </w:p>
    <w:p w:rsidR="00D7624C" w:rsidRPr="00D7624C" w:rsidRDefault="00D7624C" w:rsidP="00D7624C">
      <w:pPr>
        <w:pStyle w:val="a3"/>
        <w:numPr>
          <w:ilvl w:val="0"/>
          <w:numId w:val="1"/>
        </w:numPr>
        <w:spacing w:after="0" w:line="240" w:lineRule="auto"/>
        <w:ind w:left="0"/>
        <w:contextualSpacing w:val="0"/>
        <w:jc w:val="both"/>
        <w:rPr>
          <w:rFonts w:ascii="Times New Roman" w:eastAsia="Calibri" w:hAnsi="Times New Roman"/>
          <w:sz w:val="24"/>
          <w:szCs w:val="24"/>
        </w:rPr>
      </w:pPr>
      <w:r w:rsidRPr="00D7624C">
        <w:rPr>
          <w:rFonts w:ascii="Times New Roman" w:eastAsia="Calibri" w:hAnsi="Times New Roman"/>
          <w:sz w:val="24"/>
          <w:szCs w:val="24"/>
        </w:rPr>
        <w:t>В 2015 году суммарная выручка от реализации инновационной продукции, созданной за счет сре</w:t>
      </w:r>
      <w:proofErr w:type="gramStart"/>
      <w:r w:rsidRPr="00D7624C">
        <w:rPr>
          <w:rFonts w:ascii="Times New Roman" w:eastAsia="Calibri" w:hAnsi="Times New Roman"/>
          <w:sz w:val="24"/>
          <w:szCs w:val="24"/>
        </w:rPr>
        <w:t>дств гр</w:t>
      </w:r>
      <w:proofErr w:type="gramEnd"/>
      <w:r w:rsidRPr="00D7624C">
        <w:rPr>
          <w:rFonts w:ascii="Times New Roman" w:eastAsia="Calibri" w:hAnsi="Times New Roman"/>
          <w:sz w:val="24"/>
          <w:szCs w:val="24"/>
        </w:rPr>
        <w:t>анта, составила 355 416 тыс. рублей.</w:t>
      </w:r>
    </w:p>
    <w:p w:rsidR="00D7624C" w:rsidRPr="00211E5E" w:rsidRDefault="00D7624C" w:rsidP="00D7624C">
      <w:pPr>
        <w:spacing w:after="0" w:line="240" w:lineRule="auto"/>
        <w:ind w:firstLine="709"/>
        <w:jc w:val="both"/>
        <w:rPr>
          <w:rFonts w:ascii="Times New Roman" w:eastAsia="Calibri" w:hAnsi="Times New Roman"/>
          <w:sz w:val="24"/>
          <w:szCs w:val="24"/>
        </w:rPr>
      </w:pPr>
      <w:r w:rsidRPr="00D7624C">
        <w:rPr>
          <w:rFonts w:ascii="Times New Roman" w:eastAsia="Calibri" w:hAnsi="Times New Roman"/>
          <w:sz w:val="24"/>
          <w:szCs w:val="24"/>
        </w:rPr>
        <w:t>По данным мониторинга, на малых инновационных предприятиях Калужской области (в том числе вновь созданных), которые получили поддержку Фонда содействия по другим программам, создано 250 рабочих мест со средним уровнем оплаты труда 35,0 тыс. рублей в месяц. В результате выполнения НИОКР зарегистрировано более 50 объектов интеллектуальной собственности.</w:t>
      </w:r>
    </w:p>
    <w:p w:rsidR="00ED7839" w:rsidRDefault="0069032D"/>
    <w:sectPr w:rsidR="00ED78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07E5F"/>
    <w:multiLevelType w:val="hybridMultilevel"/>
    <w:tmpl w:val="9D14A93E"/>
    <w:lvl w:ilvl="0" w:tplc="04190005">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41642DE"/>
    <w:multiLevelType w:val="hybridMultilevel"/>
    <w:tmpl w:val="FE48D2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24C"/>
    <w:rsid w:val="00123FE2"/>
    <w:rsid w:val="00312740"/>
    <w:rsid w:val="0069032D"/>
    <w:rsid w:val="00882FB5"/>
    <w:rsid w:val="00C53A74"/>
    <w:rsid w:val="00D76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24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ПАРАГРАФ,Абзац списка2"/>
    <w:basedOn w:val="a"/>
    <w:link w:val="a4"/>
    <w:uiPriority w:val="34"/>
    <w:qFormat/>
    <w:rsid w:val="00D7624C"/>
    <w:pPr>
      <w:ind w:left="720"/>
      <w:contextualSpacing/>
    </w:pPr>
    <w:rPr>
      <w:lang w:eastAsia="en-US"/>
    </w:rPr>
  </w:style>
  <w:style w:type="table" w:styleId="a5">
    <w:name w:val="Table Grid"/>
    <w:basedOn w:val="a1"/>
    <w:uiPriority w:val="99"/>
    <w:rsid w:val="00D7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D7624C"/>
    <w:rPr>
      <w:rFonts w:ascii="Calibri" w:eastAsia="Times New Roman" w:hAnsi="Calibri" w:cs="Times New Roman"/>
    </w:rPr>
  </w:style>
  <w:style w:type="paragraph" w:styleId="a6">
    <w:name w:val="Balloon Text"/>
    <w:basedOn w:val="a"/>
    <w:link w:val="a7"/>
    <w:uiPriority w:val="99"/>
    <w:semiHidden/>
    <w:unhideWhenUsed/>
    <w:rsid w:val="00D762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24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24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ПАРАГРАФ,Абзац списка2"/>
    <w:basedOn w:val="a"/>
    <w:link w:val="a4"/>
    <w:uiPriority w:val="34"/>
    <w:qFormat/>
    <w:rsid w:val="00D7624C"/>
    <w:pPr>
      <w:ind w:left="720"/>
      <w:contextualSpacing/>
    </w:pPr>
    <w:rPr>
      <w:lang w:eastAsia="en-US"/>
    </w:rPr>
  </w:style>
  <w:style w:type="table" w:styleId="a5">
    <w:name w:val="Table Grid"/>
    <w:basedOn w:val="a1"/>
    <w:uiPriority w:val="99"/>
    <w:rsid w:val="00D7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D7624C"/>
    <w:rPr>
      <w:rFonts w:ascii="Calibri" w:eastAsia="Times New Roman" w:hAnsi="Calibri" w:cs="Times New Roman"/>
    </w:rPr>
  </w:style>
  <w:style w:type="paragraph" w:styleId="a6">
    <w:name w:val="Balloon Text"/>
    <w:basedOn w:val="a"/>
    <w:link w:val="a7"/>
    <w:uiPriority w:val="99"/>
    <w:semiHidden/>
    <w:unhideWhenUsed/>
    <w:rsid w:val="00D7624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7624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Количество контрактов, шт</c:v>
                </c:pt>
              </c:strCache>
            </c:strRef>
          </c:tx>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6"/>
                <c:pt idx="0">
                  <c:v>2010 год</c:v>
                </c:pt>
                <c:pt idx="1">
                  <c:v>2011 год</c:v>
                </c:pt>
                <c:pt idx="2">
                  <c:v>2012 год</c:v>
                </c:pt>
                <c:pt idx="3">
                  <c:v>2013 год</c:v>
                </c:pt>
                <c:pt idx="4">
                  <c:v>2014 год</c:v>
                </c:pt>
                <c:pt idx="5">
                  <c:v>2015 год</c:v>
                </c:pt>
              </c:strCache>
            </c:strRef>
          </c:cat>
          <c:val>
            <c:numRef>
              <c:f>Лист1!$B$2:$B$7</c:f>
              <c:numCache>
                <c:formatCode>0</c:formatCode>
                <c:ptCount val="6"/>
                <c:pt idx="0">
                  <c:v>8</c:v>
                </c:pt>
                <c:pt idx="1">
                  <c:v>13</c:v>
                </c:pt>
                <c:pt idx="2">
                  <c:v>16</c:v>
                </c:pt>
                <c:pt idx="3">
                  <c:v>18</c:v>
                </c:pt>
                <c:pt idx="4">
                  <c:v>12</c:v>
                </c:pt>
                <c:pt idx="5">
                  <c:v>23</c:v>
                </c:pt>
              </c:numCache>
            </c:numRef>
          </c:val>
        </c:ser>
        <c:ser>
          <c:idx val="1"/>
          <c:order val="1"/>
          <c:tx>
            <c:strRef>
              <c:f>Лист1!$C$1</c:f>
              <c:strCache>
                <c:ptCount val="1"/>
                <c:pt idx="0">
                  <c:v>Объемы финансирования, млн. руб.</c:v>
                </c:pt>
              </c:strCache>
            </c:strRef>
          </c:tx>
          <c:invertIfNegative val="0"/>
          <c:dLbls>
            <c:dLbl>
              <c:idx val="0"/>
              <c:tx>
                <c:rich>
                  <a:bodyPr/>
                  <a:lstStyle/>
                  <a:p>
                    <a:r>
                      <a:rPr lang="en-US" sz="1200" baseline="0"/>
                      <a:t>19,8</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sz="12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6"/>
                <c:pt idx="0">
                  <c:v>2010 год</c:v>
                </c:pt>
                <c:pt idx="1">
                  <c:v>2011 год</c:v>
                </c:pt>
                <c:pt idx="2">
                  <c:v>2012 год</c:v>
                </c:pt>
                <c:pt idx="3">
                  <c:v>2013 год</c:v>
                </c:pt>
                <c:pt idx="4">
                  <c:v>2014 год</c:v>
                </c:pt>
                <c:pt idx="5">
                  <c:v>2015 год</c:v>
                </c:pt>
              </c:strCache>
            </c:strRef>
          </c:cat>
          <c:val>
            <c:numRef>
              <c:f>Лист1!$C$2:$C$7</c:f>
              <c:numCache>
                <c:formatCode>0.0</c:formatCode>
                <c:ptCount val="6"/>
                <c:pt idx="0">
                  <c:v>19.8</c:v>
                </c:pt>
                <c:pt idx="1">
                  <c:v>30.79</c:v>
                </c:pt>
                <c:pt idx="2">
                  <c:v>35.549999999999997</c:v>
                </c:pt>
                <c:pt idx="3">
                  <c:v>71.14</c:v>
                </c:pt>
                <c:pt idx="4">
                  <c:v>55.6</c:v>
                </c:pt>
                <c:pt idx="5">
                  <c:v>203</c:v>
                </c:pt>
              </c:numCache>
            </c:numRef>
          </c:val>
        </c:ser>
        <c:dLbls>
          <c:showLegendKey val="0"/>
          <c:showVal val="0"/>
          <c:showCatName val="0"/>
          <c:showSerName val="0"/>
          <c:showPercent val="0"/>
          <c:showBubbleSize val="0"/>
        </c:dLbls>
        <c:gapWidth val="75"/>
        <c:shape val="box"/>
        <c:axId val="121618816"/>
        <c:axId val="121620352"/>
        <c:axId val="0"/>
      </c:bar3DChart>
      <c:catAx>
        <c:axId val="121618816"/>
        <c:scaling>
          <c:orientation val="minMax"/>
        </c:scaling>
        <c:delete val="0"/>
        <c:axPos val="b"/>
        <c:numFmt formatCode="General" sourceLinked="1"/>
        <c:majorTickMark val="none"/>
        <c:minorTickMark val="none"/>
        <c:tickLblPos val="nextTo"/>
        <c:txPr>
          <a:bodyPr/>
          <a:lstStyle/>
          <a:p>
            <a:pPr>
              <a:defRPr sz="1200" baseline="0"/>
            </a:pPr>
            <a:endParaRPr lang="ru-RU"/>
          </a:p>
        </c:txPr>
        <c:crossAx val="121620352"/>
        <c:crosses val="autoZero"/>
        <c:auto val="1"/>
        <c:lblAlgn val="ctr"/>
        <c:lblOffset val="100"/>
        <c:noMultiLvlLbl val="0"/>
      </c:catAx>
      <c:valAx>
        <c:axId val="121620352"/>
        <c:scaling>
          <c:orientation val="minMax"/>
        </c:scaling>
        <c:delete val="0"/>
        <c:axPos val="l"/>
        <c:numFmt formatCode="0" sourceLinked="1"/>
        <c:majorTickMark val="none"/>
        <c:minorTickMark val="none"/>
        <c:tickLblPos val="nextTo"/>
        <c:txPr>
          <a:bodyPr/>
          <a:lstStyle/>
          <a:p>
            <a:pPr>
              <a:defRPr sz="1200" baseline="0"/>
            </a:pPr>
            <a:endParaRPr lang="ru-RU"/>
          </a:p>
        </c:txPr>
        <c:crossAx val="121618816"/>
        <c:crosses val="autoZero"/>
        <c:crossBetween val="between"/>
      </c:valAx>
      <c:spPr>
        <a:noFill/>
        <a:ln w="25395">
          <a:noFill/>
        </a:ln>
      </c:spPr>
    </c:plotArea>
    <c:legend>
      <c:legendPos val="b"/>
      <c:overlay val="0"/>
      <c:txPr>
        <a:bodyPr/>
        <a:lstStyle/>
        <a:p>
          <a:pPr>
            <a:defRPr sz="1400" baseline="0"/>
          </a:pPr>
          <a:endParaRPr lang="ru-RU"/>
        </a:p>
      </c:txPr>
    </c:legend>
    <c:plotVisOnly val="1"/>
    <c:dispBlanksAs val="gap"/>
    <c:showDLblsOverMax val="0"/>
  </c:chart>
  <c:txPr>
    <a:bodyPr/>
    <a:lstStyle/>
    <a:p>
      <a:pPr>
        <a:defRPr sz="1981"/>
      </a:pPr>
      <a:endParaRPr lang="ru-RU"/>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0.04762</cdr:x>
      <cdr:y>0</cdr:y>
    </cdr:from>
    <cdr:to>
      <cdr:x>0.16856</cdr:x>
      <cdr:y>0.22278</cdr:y>
    </cdr:to>
    <cdr:sp macro="" textlink="">
      <cdr:nvSpPr>
        <cdr:cNvPr id="2" name="TextBox 1"/>
        <cdr:cNvSpPr txBox="1"/>
      </cdr:nvSpPr>
      <cdr:spPr>
        <a:xfrm xmlns:a="http://schemas.openxmlformats.org/drawingml/2006/main">
          <a:off x="404624" y="0"/>
          <a:ext cx="1027621" cy="118710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400" dirty="0" smtClean="0"/>
            <a:t>Млн. рублей</a:t>
          </a:r>
          <a:endParaRPr lang="ru-RU" sz="1400"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Другая 1">
    <a:dk1>
      <a:sysClr val="windowText" lastClr="000000"/>
    </a:dk1>
    <a:lt1>
      <a:sysClr val="window" lastClr="FFFFFF"/>
    </a:lt1>
    <a:dk2>
      <a:srgbClr val="1F497D"/>
    </a:dk2>
    <a:lt2>
      <a:srgbClr val="EEECE1"/>
    </a:lt2>
    <a:accent1>
      <a:srgbClr val="00764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6742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Н.П.</dc:creator>
  <cp:lastModifiedBy>Ламберушка</cp:lastModifiedBy>
  <cp:revision>3</cp:revision>
  <dcterms:created xsi:type="dcterms:W3CDTF">2016-09-24T06:50:00Z</dcterms:created>
  <dcterms:modified xsi:type="dcterms:W3CDTF">2016-09-24T07:03:00Z</dcterms:modified>
</cp:coreProperties>
</file>